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33F18" w14:textId="5DE11C1C" w:rsidR="00F64ED3" w:rsidRPr="00187C06" w:rsidRDefault="00D234DB" w:rsidP="00D234DB">
      <w:pPr>
        <w:pStyle w:val="NormalWeb"/>
        <w:shd w:val="clear" w:color="auto" w:fill="FFFFFF"/>
        <w:spacing w:before="120" w:beforeAutospacing="0" w:after="120" w:afterAutospacing="0" w:line="360" w:lineRule="auto"/>
        <w:ind w:firstLine="142"/>
        <w:rPr>
          <w:b/>
          <w:u w:val="single"/>
        </w:rPr>
      </w:pPr>
      <w:r w:rsidRPr="00187C06">
        <w:rPr>
          <w:b/>
          <w:u w:val="single"/>
        </w:rPr>
        <w:t>A 175 años del tratado de Nankín</w:t>
      </w:r>
    </w:p>
    <w:p w14:paraId="246864D8" w14:textId="41254C32" w:rsidR="006E08E3" w:rsidRPr="00187C06" w:rsidRDefault="00F64ED3" w:rsidP="00D234DB">
      <w:pPr>
        <w:pStyle w:val="NormalWeb"/>
        <w:shd w:val="clear" w:color="auto" w:fill="FFFFFF"/>
        <w:spacing w:before="120" w:beforeAutospacing="0" w:after="120" w:afterAutospacing="0" w:line="360" w:lineRule="auto"/>
        <w:ind w:firstLine="142"/>
        <w:jc w:val="both"/>
      </w:pPr>
      <w:r w:rsidRPr="00187C06">
        <w:t>Al finalizar la Primera Guerra del Opio</w:t>
      </w:r>
      <w:r w:rsidR="005B3286" w:rsidRPr="00187C06">
        <w:t xml:space="preserve"> (1839 -18</w:t>
      </w:r>
      <w:r w:rsidRPr="00187C06">
        <w:t>42)</w:t>
      </w:r>
      <w:r w:rsidR="005B3169">
        <w:t>, el Imperio Británico y la d</w:t>
      </w:r>
      <w:r w:rsidR="006E08E3" w:rsidRPr="00187C06">
        <w:t xml:space="preserve">inastía Qing firmaron un tratado de paz que tuvo graves consecuencias para el gigante asiático y que </w:t>
      </w:r>
      <w:r w:rsidR="00D234DB" w:rsidRPr="00187C06">
        <w:t>marcó</w:t>
      </w:r>
      <w:r w:rsidR="006E08E3" w:rsidRPr="00187C06">
        <w:t xml:space="preserve"> el curso de </w:t>
      </w:r>
      <w:r w:rsidR="005B3169">
        <w:t xml:space="preserve">los </w:t>
      </w:r>
      <w:r w:rsidR="006E08E3" w:rsidRPr="00187C06">
        <w:t xml:space="preserve">próximos años, plagados de desafíos. </w:t>
      </w:r>
    </w:p>
    <w:p w14:paraId="53F1863D" w14:textId="2CD4FFFD" w:rsidR="006E08E3" w:rsidRPr="00187C06" w:rsidRDefault="006E08E3" w:rsidP="00D234DB">
      <w:pPr>
        <w:pStyle w:val="NormalWeb"/>
        <w:shd w:val="clear" w:color="auto" w:fill="FFFFFF"/>
        <w:spacing w:before="120" w:beforeAutospacing="0" w:after="120" w:afterAutospacing="0" w:line="360" w:lineRule="auto"/>
        <w:ind w:firstLine="142"/>
        <w:jc w:val="both"/>
      </w:pPr>
      <w:r w:rsidRPr="00187C06">
        <w:t xml:space="preserve">La firma del acuerdo tuvo lugar el 29 de agosto 1842 a bordo del navío de guerra británico HMS Cornwallis, en aguas de Nankín. </w:t>
      </w:r>
      <w:r w:rsidR="005B3286" w:rsidRPr="00187C06">
        <w:t xml:space="preserve">El </w:t>
      </w:r>
      <w:r w:rsidRPr="00187C06">
        <w:t xml:space="preserve">representante británico fue </w:t>
      </w:r>
      <w:r w:rsidRPr="00187C06">
        <w:rPr>
          <w:b/>
        </w:rPr>
        <w:t>Sir Henry Pottinger</w:t>
      </w:r>
      <w:r w:rsidRPr="00187C06">
        <w:t xml:space="preserve">  y por China</w:t>
      </w:r>
      <w:r w:rsidR="003A7D49" w:rsidRPr="00187C06">
        <w:t>,</w:t>
      </w:r>
      <w:r w:rsidR="005B3286" w:rsidRPr="00187C06">
        <w:t xml:space="preserve"> </w:t>
      </w:r>
      <w:r w:rsidR="005B3286" w:rsidRPr="00187C06">
        <w:rPr>
          <w:b/>
        </w:rPr>
        <w:t>Qiying, Ilibu</w:t>
      </w:r>
      <w:r w:rsidR="005B3286" w:rsidRPr="00187C06">
        <w:t xml:space="preserve"> y </w:t>
      </w:r>
      <w:r w:rsidR="005B3286" w:rsidRPr="00187C06">
        <w:rPr>
          <w:b/>
        </w:rPr>
        <w:t>Niujian</w:t>
      </w:r>
      <w:r w:rsidR="005B3286" w:rsidRPr="00187C06">
        <w:t xml:space="preserve"> quienes labraron el acuerdo que cons</w:t>
      </w:r>
      <w:r w:rsidR="005B3169">
        <w:t>taba de</w:t>
      </w:r>
      <w:r w:rsidR="005B3286" w:rsidRPr="00187C06">
        <w:t xml:space="preserve"> trece artículos</w:t>
      </w:r>
      <w:r w:rsidR="005B3169">
        <w:t xml:space="preserve"> y que</w:t>
      </w:r>
      <w:r w:rsidR="005B3286" w:rsidRPr="00187C06">
        <w:t>, más tarde</w:t>
      </w:r>
      <w:r w:rsidR="005B3169">
        <w:t>, fue</w:t>
      </w:r>
      <w:r w:rsidR="005B3286" w:rsidRPr="00187C06">
        <w:t xml:space="preserve"> ratificado</w:t>
      </w:r>
      <w:r w:rsidRPr="00187C06">
        <w:t xml:space="preserve"> </w:t>
      </w:r>
      <w:r w:rsidR="005B3286" w:rsidRPr="00187C06">
        <w:t xml:space="preserve">por la reina </w:t>
      </w:r>
      <w:r w:rsidR="005B3286" w:rsidRPr="00187C06">
        <w:rPr>
          <w:b/>
        </w:rPr>
        <w:t>Victoria</w:t>
      </w:r>
      <w:r w:rsidR="005B3286" w:rsidRPr="00187C06">
        <w:t xml:space="preserve"> </w:t>
      </w:r>
      <w:r w:rsidR="003A7D49" w:rsidRPr="00187C06">
        <w:t>y</w:t>
      </w:r>
      <w:r w:rsidR="005B3286" w:rsidRPr="00187C06">
        <w:t xml:space="preserve"> por el emperador </w:t>
      </w:r>
      <w:r w:rsidR="005B3286" w:rsidRPr="00187C06">
        <w:rPr>
          <w:b/>
        </w:rPr>
        <w:t>Daoguang</w:t>
      </w:r>
      <w:r w:rsidR="005B3286" w:rsidRPr="00187C06">
        <w:t xml:space="preserve">. </w:t>
      </w:r>
    </w:p>
    <w:p w14:paraId="1625AFDE" w14:textId="42E15D1D" w:rsidR="00D234DB" w:rsidRPr="00187C06" w:rsidRDefault="005B3286" w:rsidP="00D234DB">
      <w:pPr>
        <w:pStyle w:val="NormalWeb"/>
        <w:shd w:val="clear" w:color="auto" w:fill="FFFFFF"/>
        <w:spacing w:before="120" w:beforeAutospacing="0" w:after="120" w:afterAutospacing="0" w:line="360" w:lineRule="auto"/>
        <w:ind w:firstLine="142"/>
        <w:jc w:val="both"/>
      </w:pPr>
      <w:r w:rsidRPr="00187C06">
        <w:t xml:space="preserve">Entre los puntos acordados, </w:t>
      </w:r>
      <w:r w:rsidR="003A7D49" w:rsidRPr="00187C06">
        <w:t>Pekín</w:t>
      </w:r>
      <w:r w:rsidRPr="00187C06">
        <w:t xml:space="preserve"> debía pagar una indemnización de 21 millones de dól</w:t>
      </w:r>
      <w:r w:rsidR="00D234DB" w:rsidRPr="00187C06">
        <w:t xml:space="preserve">ares en un plazo de tres años </w:t>
      </w:r>
      <w:r w:rsidRPr="00187C06">
        <w:t>con un interés anual del cinco por ciento</w:t>
      </w:r>
      <w:r w:rsidR="00D234DB" w:rsidRPr="00187C06">
        <w:t xml:space="preserve"> y debía abrir</w:t>
      </w:r>
      <w:r w:rsidRPr="00187C06">
        <w:t xml:space="preserve"> los puertos de Cantón, Xiamen, Fuzhou, Ningbo y Shangai al comercio exterior, lo que derivó en </w:t>
      </w:r>
      <w:r w:rsidR="005B3169">
        <w:t xml:space="preserve">que, </w:t>
      </w:r>
      <w:r w:rsidR="00D234DB" w:rsidRPr="00187C06">
        <w:t xml:space="preserve">una gran cantidad de </w:t>
      </w:r>
      <w:r w:rsidR="005B3169">
        <w:t xml:space="preserve">ciudadanos </w:t>
      </w:r>
      <w:r w:rsidR="00D234DB" w:rsidRPr="00187C06">
        <w:t xml:space="preserve">ingleses </w:t>
      </w:r>
      <w:r w:rsidR="005B3169">
        <w:t>comprara</w:t>
      </w:r>
      <w:r w:rsidRPr="00187C06">
        <w:t>n propiedades en esas zonas</w:t>
      </w:r>
      <w:r w:rsidR="00D234DB" w:rsidRPr="00187C06">
        <w:t xml:space="preserve">. Asimismo, </w:t>
      </w:r>
      <w:r w:rsidR="00184F8D" w:rsidRPr="00187C06">
        <w:t>l</w:t>
      </w:r>
      <w:r w:rsidRPr="00187C06">
        <w:t xml:space="preserve">as tasas aduaneras </w:t>
      </w:r>
      <w:r w:rsidR="00184F8D" w:rsidRPr="00187C06">
        <w:t>debía</w:t>
      </w:r>
      <w:r w:rsidR="00D234DB" w:rsidRPr="00187C06">
        <w:t>n</w:t>
      </w:r>
      <w:r w:rsidR="00184F8D" w:rsidRPr="00187C06">
        <w:t xml:space="preserve"> </w:t>
      </w:r>
      <w:r w:rsidRPr="00187C06">
        <w:t>disminu</w:t>
      </w:r>
      <w:r w:rsidR="00184F8D" w:rsidRPr="00187C06">
        <w:t xml:space="preserve">irse </w:t>
      </w:r>
      <w:r w:rsidRPr="00187C06">
        <w:t>entre un 60-70%, hasta reducirlas a un simbólico 5% sobre el valor de las mercancías, con lo que las manufacturas britán</w:t>
      </w:r>
      <w:r w:rsidR="00184F8D" w:rsidRPr="00187C06">
        <w:t xml:space="preserve">icas </w:t>
      </w:r>
      <w:r w:rsidR="00D234DB" w:rsidRPr="00187C06">
        <w:t>terminaron inundando el mercado chino</w:t>
      </w:r>
      <w:r w:rsidR="005B3169">
        <w:t xml:space="preserve">. También </w:t>
      </w:r>
      <w:r w:rsidR="00184F8D" w:rsidRPr="00187C06">
        <w:t>se estableció</w:t>
      </w:r>
      <w:r w:rsidRPr="00187C06">
        <w:t xml:space="preserve"> inmunidad jurídica para los súbditos británicos, que no podrían ser juzgados por magistrados </w:t>
      </w:r>
      <w:r w:rsidR="005B3169">
        <w:t>locales</w:t>
      </w:r>
      <w:r w:rsidR="00184F8D" w:rsidRPr="00187C06">
        <w:t>, sino por su propio cónsul</w:t>
      </w:r>
      <w:r w:rsidR="00D234DB" w:rsidRPr="00187C06">
        <w:t>.</w:t>
      </w:r>
      <w:r w:rsidR="00184F8D" w:rsidRPr="00187C06">
        <w:t xml:space="preserve"> </w:t>
      </w:r>
    </w:p>
    <w:p w14:paraId="7D7A50B7" w14:textId="33B5D6F0" w:rsidR="00184F8D" w:rsidRPr="00187C06" w:rsidRDefault="00184F8D" w:rsidP="00D234DB">
      <w:pPr>
        <w:pStyle w:val="NormalWeb"/>
        <w:shd w:val="clear" w:color="auto" w:fill="FFFFFF"/>
        <w:spacing w:before="120" w:beforeAutospacing="0" w:after="120" w:afterAutospacing="0" w:line="360" w:lineRule="auto"/>
        <w:ind w:firstLine="142"/>
        <w:jc w:val="both"/>
      </w:pPr>
      <w:r w:rsidRPr="00187C06">
        <w:t>Sin embargo, uno de los puntos más destacados</w:t>
      </w:r>
      <w:r w:rsidR="005B3169">
        <w:t xml:space="preserve"> de este tratado,</w:t>
      </w:r>
      <w:r w:rsidRPr="00187C06">
        <w:t xml:space="preserve"> fue el que obligaba al gobierno </w:t>
      </w:r>
      <w:proofErr w:type="spellStart"/>
      <w:r w:rsidRPr="00187C06">
        <w:t>Qing</w:t>
      </w:r>
      <w:proofErr w:type="spellEnd"/>
      <w:r w:rsidRPr="00187C06">
        <w:t xml:space="preserve"> a ceder </w:t>
      </w:r>
      <w:r w:rsidR="005B3169">
        <w:t xml:space="preserve">a Gran Bretaña </w:t>
      </w:r>
      <w:r w:rsidRPr="00187C06">
        <w:t>la isl</w:t>
      </w:r>
      <w:r w:rsidR="003A7D49" w:rsidRPr="00187C06">
        <w:t xml:space="preserve">a de Hong Kong, de la cual </w:t>
      </w:r>
      <w:r w:rsidRPr="00187C06">
        <w:t xml:space="preserve">Henry Pottinger fue </w:t>
      </w:r>
      <w:r w:rsidR="003A7D49" w:rsidRPr="00187C06">
        <w:t>su</w:t>
      </w:r>
      <w:r w:rsidRPr="00187C06">
        <w:t xml:space="preserve"> primer gobernador</w:t>
      </w:r>
      <w:r w:rsidR="003A7D49" w:rsidRPr="00187C06">
        <w:t xml:space="preserve">. </w:t>
      </w:r>
      <w:r w:rsidR="005B3169">
        <w:t>De esta forma</w:t>
      </w:r>
      <w:r w:rsidR="003A7D49" w:rsidRPr="00187C06">
        <w:t>, el Imperio Británico ganaba la pulseada de seguir comercializando opio en territorio chino.</w:t>
      </w:r>
      <w:r w:rsidR="00D234DB" w:rsidRPr="00187C06">
        <w:t xml:space="preserve"> </w:t>
      </w:r>
      <w:r w:rsidR="00DC16AA" w:rsidRPr="00187C06">
        <w:t>Para Gran Bretaña, el contrabando del estupefaciente significaba una fuente de ingresos considerable y servía para equilibrar su balanza de pagos con China</w:t>
      </w:r>
      <w:r w:rsidR="005B3169">
        <w:t>,</w:t>
      </w:r>
      <w:r w:rsidR="00DC16AA" w:rsidRPr="00187C06">
        <w:t xml:space="preserve"> al compensar el gasto de las</w:t>
      </w:r>
      <w:r w:rsidR="00781D87" w:rsidRPr="00187C06">
        <w:t xml:space="preserve"> ingentes cantidades de té</w:t>
      </w:r>
      <w:r w:rsidR="00DC16AA" w:rsidRPr="00187C06">
        <w:t xml:space="preserve"> </w:t>
      </w:r>
      <w:r w:rsidR="00781D87" w:rsidRPr="00187C06">
        <w:t>importad</w:t>
      </w:r>
      <w:r w:rsidR="00DC16AA" w:rsidRPr="00187C06">
        <w:t xml:space="preserve">o. </w:t>
      </w:r>
      <w:r w:rsidR="003A7D49" w:rsidRPr="00187C06">
        <w:t xml:space="preserve"> </w:t>
      </w:r>
    </w:p>
    <w:p w14:paraId="58777F4E" w14:textId="09C012C6" w:rsidR="000B5CC9" w:rsidRPr="00187C06" w:rsidRDefault="005B3169" w:rsidP="00D234DB">
      <w:pPr>
        <w:pStyle w:val="NormalWeb"/>
        <w:shd w:val="clear" w:color="auto" w:fill="FFFFFF"/>
        <w:spacing w:before="120" w:after="120" w:line="360" w:lineRule="auto"/>
        <w:ind w:firstLine="142"/>
        <w:jc w:val="both"/>
      </w:pPr>
      <w:r>
        <w:t xml:space="preserve">Esta situación impulsó a otros Estados a buscar beneficios similares a los obtenidos por Inglaterra y muy pronto, </w:t>
      </w:r>
      <w:r w:rsidR="00184F8D" w:rsidRPr="00187C06">
        <w:t>Estados Unidos, Francia y Rusia forzaron a China a firmar diversos convenios</w:t>
      </w:r>
      <w:r w:rsidR="003A7D49" w:rsidRPr="00187C06">
        <w:t xml:space="preserve"> de carácter</w:t>
      </w:r>
      <w:r>
        <w:t xml:space="preserve"> </w:t>
      </w:r>
      <w:r w:rsidRPr="00187C06">
        <w:t>parecido</w:t>
      </w:r>
      <w:r>
        <w:t>. Dichos acuerdos r</w:t>
      </w:r>
      <w:r w:rsidR="003A7D49" w:rsidRPr="00187C06">
        <w:t>ecibieron</w:t>
      </w:r>
      <w:r w:rsidR="00184F8D" w:rsidRPr="00187C06">
        <w:t xml:space="preserve"> la denominación de </w:t>
      </w:r>
      <w:r w:rsidR="00184F8D" w:rsidRPr="00187C06">
        <w:rPr>
          <w:i/>
        </w:rPr>
        <w:t>“Tratados Desiguales”.</w:t>
      </w:r>
      <w:r w:rsidR="00184F8D" w:rsidRPr="00187C06">
        <w:t xml:space="preserve"> Como consecuencia de e</w:t>
      </w:r>
      <w:r>
        <w:t>sto</w:t>
      </w:r>
      <w:r w:rsidR="00184F8D" w:rsidRPr="00187C06">
        <w:t>, en 1860</w:t>
      </w:r>
      <w:r>
        <w:t>,</w:t>
      </w:r>
      <w:r w:rsidR="00184F8D" w:rsidRPr="00187C06">
        <w:t xml:space="preserve"> China se vio apremiada a abrir otros once puertos al comercio exterior con el correspondiente menoscabo de su soberanía</w:t>
      </w:r>
      <w:r w:rsidR="003A7D49" w:rsidRPr="00187C06">
        <w:t xml:space="preserve">. </w:t>
      </w:r>
    </w:p>
    <w:p w14:paraId="7B5BB2DE" w14:textId="2343EF3E" w:rsidR="005B3286" w:rsidRPr="00187C06" w:rsidRDefault="000B5CC9" w:rsidP="00D234DB">
      <w:pPr>
        <w:pStyle w:val="NormalWeb"/>
        <w:shd w:val="clear" w:color="auto" w:fill="FFFFFF"/>
        <w:spacing w:before="120" w:after="120" w:line="360" w:lineRule="auto"/>
        <w:ind w:firstLine="142"/>
        <w:jc w:val="both"/>
      </w:pPr>
      <w:r w:rsidRPr="00187C06">
        <w:lastRenderedPageBreak/>
        <w:t xml:space="preserve">Estos tratados dieron lugar a una </w:t>
      </w:r>
      <w:r w:rsidR="005B3169">
        <w:t xml:space="preserve">nefasta </w:t>
      </w:r>
      <w:r w:rsidRPr="00187C06">
        <w:t>situación comercial para Chi</w:t>
      </w:r>
      <w:r w:rsidR="005B3169">
        <w:t xml:space="preserve">na que duraría casi cien años: fue recién en 1920 que China logró </w:t>
      </w:r>
      <w:r w:rsidRPr="00187C06">
        <w:t xml:space="preserve">recuperar sus tarifas aduaneras </w:t>
      </w:r>
      <w:r w:rsidR="005B3169">
        <w:t xml:space="preserve">aunque </w:t>
      </w:r>
      <w:r w:rsidRPr="00187C06">
        <w:t xml:space="preserve">la </w:t>
      </w:r>
      <w:r w:rsidR="005B3169">
        <w:t xml:space="preserve">cláusula de </w:t>
      </w:r>
      <w:r w:rsidRPr="00187C06">
        <w:t>extraterritorialidad</w:t>
      </w:r>
      <w:r w:rsidR="005B3169">
        <w:t xml:space="preserve"> se mantuvo</w:t>
      </w:r>
      <w:r w:rsidRPr="00187C06">
        <w:t xml:space="preserve"> hasta 1943.</w:t>
      </w:r>
    </w:p>
    <w:p w14:paraId="07E9DF32" w14:textId="01ED90B3" w:rsidR="000B5CC9" w:rsidRPr="00187C06" w:rsidRDefault="00116AB3" w:rsidP="00D234DB">
      <w:pPr>
        <w:pStyle w:val="NormalWeb"/>
        <w:shd w:val="clear" w:color="auto" w:fill="FFFFFF"/>
        <w:spacing w:before="120" w:after="120" w:line="360" w:lineRule="auto"/>
        <w:ind w:firstLine="142"/>
        <w:jc w:val="both"/>
      </w:pPr>
      <w:r w:rsidRPr="00187C06">
        <w:t xml:space="preserve">Todo ello, </w:t>
      </w:r>
      <w:r w:rsidR="00DC16AA" w:rsidRPr="00187C06">
        <w:t xml:space="preserve">contribuyó a grandes desacuerdos sociales, políticos y económicos </w:t>
      </w:r>
      <w:r w:rsidR="005B3169">
        <w:t xml:space="preserve">dentro del país, </w:t>
      </w:r>
      <w:r w:rsidR="00DC16AA" w:rsidRPr="00187C06">
        <w:t>que se evidenciaron en la volatili</w:t>
      </w:r>
      <w:r w:rsidRPr="00187C06">
        <w:t xml:space="preserve">dad de distintos grupos civiles, </w:t>
      </w:r>
      <w:r w:rsidR="00DC16AA" w:rsidRPr="00187C06">
        <w:t>desenca</w:t>
      </w:r>
      <w:r w:rsidR="005B3169">
        <w:t>denando una serie de</w:t>
      </w:r>
      <w:r w:rsidR="00DC16AA" w:rsidRPr="00187C06">
        <w:t xml:space="preserve"> conflictos tales como la Rebelión Taiping, a mediados del siglo XIX, la Rebelión de los Bóxers, a principios del XX, y la posterior caída de la Dinastía Qing en 1912.</w:t>
      </w:r>
      <w:r w:rsidR="00781D87" w:rsidRPr="00187C06">
        <w:t xml:space="preserve"> El resurgimiento del gigante asiático tardaría varios </w:t>
      </w:r>
      <w:r w:rsidR="005B3169">
        <w:t>décadas más en alcanzar su desarrollo actual.</w:t>
      </w:r>
      <w:bookmarkStart w:id="0" w:name="_GoBack"/>
      <w:bookmarkEnd w:id="0"/>
      <w:r w:rsidR="00781D87" w:rsidRPr="00187C06">
        <w:t xml:space="preserve"> </w:t>
      </w:r>
    </w:p>
    <w:p w14:paraId="32242E0C" w14:textId="77777777" w:rsidR="000B5CC9" w:rsidRPr="00187C06" w:rsidRDefault="000B5CC9" w:rsidP="00D234DB">
      <w:pPr>
        <w:pStyle w:val="NormalWeb"/>
        <w:shd w:val="clear" w:color="auto" w:fill="FFFFFF"/>
        <w:spacing w:before="120" w:after="120" w:line="360" w:lineRule="auto"/>
        <w:ind w:firstLine="142"/>
        <w:jc w:val="both"/>
        <w:rPr>
          <w:rFonts w:ascii="Arial" w:hAnsi="Arial" w:cs="Arial"/>
        </w:rPr>
      </w:pPr>
    </w:p>
    <w:p w14:paraId="310754A2" w14:textId="13126692" w:rsidR="00AE445E" w:rsidRPr="00187C06" w:rsidRDefault="00AE445E" w:rsidP="00D234DB">
      <w:pPr>
        <w:spacing w:after="0" w:line="360" w:lineRule="auto"/>
        <w:ind w:left="4956" w:firstLine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C06">
        <w:rPr>
          <w:rFonts w:ascii="Times New Roman" w:hAnsi="Times New Roman" w:cs="Times New Roman"/>
          <w:b/>
          <w:sz w:val="24"/>
          <w:szCs w:val="24"/>
        </w:rPr>
        <w:t>María Laura Brito</w:t>
      </w:r>
    </w:p>
    <w:p w14:paraId="01468F44" w14:textId="77777777" w:rsidR="004C56C5" w:rsidRPr="00187C06" w:rsidRDefault="004C56C5" w:rsidP="00D234DB">
      <w:pPr>
        <w:spacing w:after="0" w:line="360" w:lineRule="auto"/>
        <w:ind w:left="4956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187C06">
        <w:rPr>
          <w:rFonts w:ascii="Times New Roman" w:hAnsi="Times New Roman" w:cs="Times New Roman"/>
          <w:sz w:val="24"/>
          <w:szCs w:val="24"/>
        </w:rPr>
        <w:t xml:space="preserve">Colaborador de la Red Federal de </w:t>
      </w:r>
    </w:p>
    <w:p w14:paraId="0AF2D0F7" w14:textId="77777777" w:rsidR="004C56C5" w:rsidRPr="00187C06" w:rsidRDefault="004C56C5" w:rsidP="00D234DB">
      <w:pPr>
        <w:spacing w:after="0" w:line="360" w:lineRule="auto"/>
        <w:ind w:firstLine="142"/>
        <w:jc w:val="right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187C06">
        <w:rPr>
          <w:rFonts w:ascii="Times New Roman" w:hAnsi="Times New Roman" w:cs="Times New Roman"/>
          <w:sz w:val="24"/>
          <w:szCs w:val="24"/>
        </w:rPr>
        <w:t>Historia de las Relaciones Internacionales</w:t>
      </w:r>
    </w:p>
    <w:p w14:paraId="20473C1F" w14:textId="77777777" w:rsidR="004C56C5" w:rsidRPr="00187C06" w:rsidRDefault="004C56C5" w:rsidP="00D234DB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187C06">
        <w:rPr>
          <w:rFonts w:ascii="Times New Roman" w:hAnsi="Times New Roman" w:cs="Times New Roman"/>
          <w:sz w:val="24"/>
          <w:szCs w:val="24"/>
        </w:rPr>
        <w:t>Departamento de Historia</w:t>
      </w:r>
    </w:p>
    <w:p w14:paraId="67DA2C91" w14:textId="77777777" w:rsidR="004C56C5" w:rsidRPr="00187C06" w:rsidRDefault="004C56C5" w:rsidP="00D234DB">
      <w:pPr>
        <w:spacing w:after="0" w:line="360" w:lineRule="auto"/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187C06">
        <w:rPr>
          <w:rFonts w:ascii="Times New Roman" w:hAnsi="Times New Roman" w:cs="Times New Roman"/>
          <w:sz w:val="24"/>
          <w:szCs w:val="24"/>
        </w:rPr>
        <w:t>Instituto de Relaciones Internacionales – U.N.L.P. - 2017</w:t>
      </w:r>
    </w:p>
    <w:p w14:paraId="37EC9AD1" w14:textId="77777777" w:rsidR="00781D87" w:rsidRPr="00D234DB" w:rsidRDefault="00781D87" w:rsidP="00D234DB">
      <w:pPr>
        <w:ind w:firstLine="142"/>
        <w:jc w:val="right"/>
        <w:rPr>
          <w:sz w:val="24"/>
          <w:szCs w:val="24"/>
          <w:shd w:val="clear" w:color="auto" w:fill="FFFFFF"/>
        </w:rPr>
      </w:pPr>
    </w:p>
    <w:sectPr w:rsidR="00781D87" w:rsidRPr="00D234D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18FC8" w14:textId="77777777" w:rsidR="00156BA8" w:rsidRDefault="00156BA8" w:rsidP="00BD52E5">
      <w:pPr>
        <w:spacing w:after="0" w:line="240" w:lineRule="auto"/>
      </w:pPr>
      <w:r>
        <w:separator/>
      </w:r>
    </w:p>
  </w:endnote>
  <w:endnote w:type="continuationSeparator" w:id="0">
    <w:p w14:paraId="474C1E53" w14:textId="77777777" w:rsidR="00156BA8" w:rsidRDefault="00156BA8" w:rsidP="00BD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9A2BB" w14:textId="77777777" w:rsidR="00156BA8" w:rsidRDefault="00156BA8" w:rsidP="00BD52E5">
      <w:pPr>
        <w:spacing w:after="0" w:line="240" w:lineRule="auto"/>
      </w:pPr>
      <w:r>
        <w:separator/>
      </w:r>
    </w:p>
  </w:footnote>
  <w:footnote w:type="continuationSeparator" w:id="0">
    <w:p w14:paraId="5F0207AA" w14:textId="77777777" w:rsidR="00156BA8" w:rsidRDefault="00156BA8" w:rsidP="00BD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C27E2" w14:textId="77777777" w:rsidR="00BD52E5" w:rsidRPr="00E22DD2" w:rsidRDefault="00BD52E5" w:rsidP="00B361A6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14:paraId="19B65A72" w14:textId="7AD472E2" w:rsidR="00BD52E5" w:rsidRPr="00E22DD2" w:rsidRDefault="00BD52E5" w:rsidP="00B361A6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14:paraId="03B87A98" w14:textId="77777777" w:rsidR="00BD52E5" w:rsidRDefault="00BD52E5" w:rsidP="00B361A6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>– U.N.L.P.- 2017</w:t>
    </w:r>
  </w:p>
  <w:p w14:paraId="5743CF04" w14:textId="77777777" w:rsidR="00BD52E5" w:rsidRDefault="00BD52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5E"/>
    <w:rsid w:val="000B5CC9"/>
    <w:rsid w:val="000F4522"/>
    <w:rsid w:val="00116AB3"/>
    <w:rsid w:val="00156BA8"/>
    <w:rsid w:val="00184F8D"/>
    <w:rsid w:val="00187C06"/>
    <w:rsid w:val="001C6020"/>
    <w:rsid w:val="003A7D49"/>
    <w:rsid w:val="00474882"/>
    <w:rsid w:val="004C56C5"/>
    <w:rsid w:val="005B3169"/>
    <w:rsid w:val="005B3286"/>
    <w:rsid w:val="005D3E14"/>
    <w:rsid w:val="00680BB0"/>
    <w:rsid w:val="006E08E3"/>
    <w:rsid w:val="007542F7"/>
    <w:rsid w:val="0077575E"/>
    <w:rsid w:val="00781D87"/>
    <w:rsid w:val="00A4103A"/>
    <w:rsid w:val="00AE445E"/>
    <w:rsid w:val="00B7614D"/>
    <w:rsid w:val="00BD52E5"/>
    <w:rsid w:val="00D12B41"/>
    <w:rsid w:val="00D234DB"/>
    <w:rsid w:val="00DC16AA"/>
    <w:rsid w:val="00E74F3D"/>
    <w:rsid w:val="00F6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C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7575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4103A"/>
    <w:rPr>
      <w:b/>
      <w:bCs/>
    </w:rPr>
  </w:style>
  <w:style w:type="character" w:styleId="nfasis">
    <w:name w:val="Emphasis"/>
    <w:basedOn w:val="Fuentedeprrafopredeter"/>
    <w:uiPriority w:val="20"/>
    <w:qFormat/>
    <w:rsid w:val="00A4103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D5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2E5"/>
  </w:style>
  <w:style w:type="paragraph" w:styleId="Piedepgina">
    <w:name w:val="footer"/>
    <w:basedOn w:val="Normal"/>
    <w:link w:val="PiedepginaCar"/>
    <w:uiPriority w:val="99"/>
    <w:unhideWhenUsed/>
    <w:rsid w:val="00BD5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7575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4103A"/>
    <w:rPr>
      <w:b/>
      <w:bCs/>
    </w:rPr>
  </w:style>
  <w:style w:type="character" w:styleId="nfasis">
    <w:name w:val="Emphasis"/>
    <w:basedOn w:val="Fuentedeprrafopredeter"/>
    <w:uiPriority w:val="20"/>
    <w:qFormat/>
    <w:rsid w:val="00A4103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D5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2E5"/>
  </w:style>
  <w:style w:type="paragraph" w:styleId="Piedepgina">
    <w:name w:val="footer"/>
    <w:basedOn w:val="Normal"/>
    <w:link w:val="PiedepginaCar"/>
    <w:uiPriority w:val="99"/>
    <w:unhideWhenUsed/>
    <w:rsid w:val="00BD5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Patricia Kreibohm</cp:lastModifiedBy>
  <cp:revision>3</cp:revision>
  <dcterms:created xsi:type="dcterms:W3CDTF">2017-08-07T15:37:00Z</dcterms:created>
  <dcterms:modified xsi:type="dcterms:W3CDTF">2017-08-08T17:26:00Z</dcterms:modified>
</cp:coreProperties>
</file>