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FC3" w:rsidRPr="00A02408" w:rsidRDefault="006C49CE" w:rsidP="00A02408">
      <w:pPr>
        <w:rPr>
          <w:rFonts w:ascii="Times New Roman" w:hAnsi="Times New Roman" w:cs="Times New Roman"/>
          <w:b/>
          <w:sz w:val="24"/>
          <w:szCs w:val="24"/>
          <w:u w:val="single"/>
        </w:rPr>
      </w:pPr>
      <w:r w:rsidRPr="00A02408">
        <w:rPr>
          <w:rFonts w:ascii="Times New Roman" w:hAnsi="Times New Roman" w:cs="Times New Roman"/>
          <w:b/>
          <w:sz w:val="24"/>
          <w:szCs w:val="24"/>
          <w:u w:val="single"/>
        </w:rPr>
        <w:t>A 40 años del Laudo Arb</w:t>
      </w:r>
      <w:bookmarkStart w:id="0" w:name="_GoBack"/>
      <w:bookmarkEnd w:id="0"/>
      <w:r w:rsidRPr="00A02408">
        <w:rPr>
          <w:rFonts w:ascii="Times New Roman" w:hAnsi="Times New Roman" w:cs="Times New Roman"/>
          <w:b/>
          <w:sz w:val="24"/>
          <w:szCs w:val="24"/>
          <w:u w:val="single"/>
        </w:rPr>
        <w:t>itral por las islas del canal de Beagle.</w:t>
      </w:r>
    </w:p>
    <w:p w:rsidR="00A02408" w:rsidRPr="00A02408" w:rsidRDefault="00A02408" w:rsidP="00A02408">
      <w:pPr>
        <w:jc w:val="both"/>
        <w:rPr>
          <w:rFonts w:ascii="Times New Roman" w:hAnsi="Times New Roman" w:cs="Times New Roman"/>
          <w:b/>
          <w:sz w:val="24"/>
          <w:szCs w:val="24"/>
        </w:rPr>
      </w:pPr>
      <w:r w:rsidRPr="00A02408">
        <w:rPr>
          <w:rFonts w:ascii="Times New Roman" w:hAnsi="Times New Roman" w:cs="Times New Roman"/>
          <w:b/>
          <w:sz w:val="24"/>
          <w:szCs w:val="24"/>
        </w:rPr>
        <w:t>Por: María Laura Brito.</w:t>
      </w:r>
    </w:p>
    <w:p w:rsidR="00E37B26" w:rsidRPr="00A02408" w:rsidRDefault="00A02408" w:rsidP="00A02408">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690B73" w:rsidRPr="00A02408">
        <w:rPr>
          <w:rFonts w:ascii="Times New Roman" w:hAnsi="Times New Roman" w:cs="Times New Roman"/>
          <w:sz w:val="24"/>
          <w:szCs w:val="24"/>
        </w:rPr>
        <w:t xml:space="preserve">El </w:t>
      </w:r>
      <w:r w:rsidR="00561FC3" w:rsidRPr="00A02408">
        <w:rPr>
          <w:rFonts w:ascii="Times New Roman" w:hAnsi="Times New Roman" w:cs="Times New Roman"/>
          <w:sz w:val="24"/>
          <w:szCs w:val="24"/>
        </w:rPr>
        <w:t>2 de mayo de 1977</w:t>
      </w:r>
      <w:r w:rsidRPr="00A02408">
        <w:rPr>
          <w:rFonts w:ascii="Times New Roman" w:hAnsi="Times New Roman" w:cs="Times New Roman"/>
          <w:sz w:val="24"/>
          <w:szCs w:val="24"/>
        </w:rPr>
        <w:t>,</w:t>
      </w:r>
      <w:r w:rsidR="00561FC3" w:rsidRPr="00A02408">
        <w:rPr>
          <w:rFonts w:ascii="Times New Roman" w:hAnsi="Times New Roman" w:cs="Times New Roman"/>
          <w:sz w:val="24"/>
          <w:szCs w:val="24"/>
        </w:rPr>
        <w:t xml:space="preserve"> se daba a conocer el </w:t>
      </w:r>
      <w:r w:rsidR="00690B73" w:rsidRPr="00A02408">
        <w:rPr>
          <w:rFonts w:ascii="Times New Roman" w:hAnsi="Times New Roman" w:cs="Times New Roman"/>
          <w:sz w:val="24"/>
          <w:szCs w:val="24"/>
        </w:rPr>
        <w:t xml:space="preserve">laudo </w:t>
      </w:r>
      <w:r w:rsidR="00712F4A" w:rsidRPr="00A02408">
        <w:rPr>
          <w:rFonts w:ascii="Times New Roman" w:hAnsi="Times New Roman" w:cs="Times New Roman"/>
          <w:sz w:val="24"/>
          <w:szCs w:val="24"/>
        </w:rPr>
        <w:t xml:space="preserve">del tribunal </w:t>
      </w:r>
      <w:r w:rsidR="00690B73" w:rsidRPr="00A02408">
        <w:rPr>
          <w:rFonts w:ascii="Times New Roman" w:hAnsi="Times New Roman" w:cs="Times New Roman"/>
          <w:sz w:val="24"/>
          <w:szCs w:val="24"/>
        </w:rPr>
        <w:t>arbitral</w:t>
      </w:r>
      <w:r w:rsidR="00712F4A" w:rsidRPr="00A02408">
        <w:rPr>
          <w:rFonts w:ascii="Times New Roman" w:hAnsi="Times New Roman" w:cs="Times New Roman"/>
          <w:sz w:val="24"/>
          <w:szCs w:val="24"/>
        </w:rPr>
        <w:t xml:space="preserve">, presidido por la reina Isabel II de Inglaterra, sobre la disputa por el trazado </w:t>
      </w:r>
      <w:r w:rsidR="00552A58" w:rsidRPr="00A02408">
        <w:rPr>
          <w:rFonts w:ascii="Times New Roman" w:hAnsi="Times New Roman" w:cs="Times New Roman"/>
          <w:sz w:val="24"/>
          <w:szCs w:val="24"/>
        </w:rPr>
        <w:t xml:space="preserve">del </w:t>
      </w:r>
      <w:r w:rsidR="00561FC3" w:rsidRPr="00A02408">
        <w:rPr>
          <w:rFonts w:ascii="Times New Roman" w:hAnsi="Times New Roman" w:cs="Times New Roman"/>
          <w:sz w:val="24"/>
          <w:szCs w:val="24"/>
        </w:rPr>
        <w:t>Canal de</w:t>
      </w:r>
      <w:r w:rsidR="00690B73" w:rsidRPr="00A02408">
        <w:rPr>
          <w:rFonts w:ascii="Times New Roman" w:hAnsi="Times New Roman" w:cs="Times New Roman"/>
          <w:sz w:val="24"/>
          <w:szCs w:val="24"/>
        </w:rPr>
        <w:t xml:space="preserve"> Beagle</w:t>
      </w:r>
      <w:r w:rsidR="00561FC3" w:rsidRPr="00A02408">
        <w:rPr>
          <w:rFonts w:ascii="Times New Roman" w:hAnsi="Times New Roman" w:cs="Times New Roman"/>
          <w:sz w:val="24"/>
          <w:szCs w:val="24"/>
        </w:rPr>
        <w:t xml:space="preserve">. </w:t>
      </w:r>
      <w:r w:rsidR="00690B73" w:rsidRPr="00A02408">
        <w:rPr>
          <w:rFonts w:ascii="Times New Roman" w:hAnsi="Times New Roman" w:cs="Times New Roman"/>
          <w:sz w:val="24"/>
          <w:szCs w:val="24"/>
        </w:rPr>
        <w:t xml:space="preserve"> </w:t>
      </w:r>
      <w:r w:rsidR="00561FC3" w:rsidRPr="00A02408">
        <w:rPr>
          <w:rFonts w:ascii="Times New Roman" w:hAnsi="Times New Roman" w:cs="Times New Roman"/>
          <w:sz w:val="24"/>
          <w:szCs w:val="24"/>
        </w:rPr>
        <w:t xml:space="preserve">En aquella fecha, </w:t>
      </w:r>
      <w:r w:rsidR="00712F4A" w:rsidRPr="00A02408">
        <w:rPr>
          <w:rFonts w:ascii="Times New Roman" w:hAnsi="Times New Roman" w:cs="Times New Roman"/>
          <w:sz w:val="24"/>
          <w:szCs w:val="24"/>
        </w:rPr>
        <w:t xml:space="preserve"> se anunció la decisión</w:t>
      </w:r>
      <w:r w:rsidR="00552A58" w:rsidRPr="00A02408">
        <w:rPr>
          <w:rFonts w:ascii="Times New Roman" w:hAnsi="Times New Roman" w:cs="Times New Roman"/>
          <w:sz w:val="24"/>
          <w:szCs w:val="24"/>
        </w:rPr>
        <w:t xml:space="preserve"> de mantener la frontera aproximadamente por el medio del canal asegurando la navegación para ambos países (en concordancia general con la línea solicitada por Argentina hasta las proximidades del islote </w:t>
      </w:r>
      <w:proofErr w:type="spellStart"/>
      <w:r w:rsidR="00552A58" w:rsidRPr="00A02408">
        <w:rPr>
          <w:rFonts w:ascii="Times New Roman" w:hAnsi="Times New Roman" w:cs="Times New Roman"/>
          <w:sz w:val="24"/>
          <w:szCs w:val="24"/>
        </w:rPr>
        <w:t>Snipe</w:t>
      </w:r>
      <w:proofErr w:type="spellEnd"/>
      <w:r w:rsidR="00552A58" w:rsidRPr="00A02408">
        <w:rPr>
          <w:rFonts w:ascii="Times New Roman" w:hAnsi="Times New Roman" w:cs="Times New Roman"/>
          <w:sz w:val="24"/>
          <w:szCs w:val="24"/>
        </w:rPr>
        <w:t>), y d</w:t>
      </w:r>
      <w:r w:rsidR="00712F4A" w:rsidRPr="00A02408">
        <w:rPr>
          <w:rFonts w:ascii="Times New Roman" w:hAnsi="Times New Roman" w:cs="Times New Roman"/>
          <w:sz w:val="24"/>
          <w:szCs w:val="24"/>
        </w:rPr>
        <w:t xml:space="preserve">e conceder a Chile la soberanía de las islas </w:t>
      </w:r>
      <w:proofErr w:type="spellStart"/>
      <w:r w:rsidR="00712F4A" w:rsidRPr="00A02408">
        <w:rPr>
          <w:rFonts w:ascii="Times New Roman" w:hAnsi="Times New Roman" w:cs="Times New Roman"/>
          <w:sz w:val="24"/>
          <w:szCs w:val="24"/>
        </w:rPr>
        <w:t>Picton</w:t>
      </w:r>
      <w:proofErr w:type="spellEnd"/>
      <w:r w:rsidR="00712F4A" w:rsidRPr="00A02408">
        <w:rPr>
          <w:rFonts w:ascii="Times New Roman" w:hAnsi="Times New Roman" w:cs="Times New Roman"/>
          <w:sz w:val="24"/>
          <w:szCs w:val="24"/>
        </w:rPr>
        <w:t xml:space="preserve">, Nueva y </w:t>
      </w:r>
      <w:proofErr w:type="spellStart"/>
      <w:r w:rsidR="00712F4A" w:rsidRPr="00A02408">
        <w:rPr>
          <w:rFonts w:ascii="Times New Roman" w:hAnsi="Times New Roman" w:cs="Times New Roman"/>
          <w:sz w:val="24"/>
          <w:szCs w:val="24"/>
        </w:rPr>
        <w:t>Lenn</w:t>
      </w:r>
      <w:r w:rsidR="00552A58" w:rsidRPr="00A02408">
        <w:rPr>
          <w:rFonts w:ascii="Times New Roman" w:hAnsi="Times New Roman" w:cs="Times New Roman"/>
          <w:sz w:val="24"/>
          <w:szCs w:val="24"/>
        </w:rPr>
        <w:t>ox</w:t>
      </w:r>
      <w:proofErr w:type="spellEnd"/>
      <w:r w:rsidR="00E37B26" w:rsidRPr="00A02408">
        <w:rPr>
          <w:rFonts w:ascii="Times New Roman" w:hAnsi="Times New Roman" w:cs="Times New Roman"/>
          <w:sz w:val="24"/>
          <w:szCs w:val="24"/>
        </w:rPr>
        <w:t xml:space="preserve">, principal razón de discordia. </w:t>
      </w:r>
      <w:r w:rsidR="00552A58" w:rsidRPr="00A02408">
        <w:rPr>
          <w:rFonts w:ascii="Times New Roman" w:hAnsi="Times New Roman" w:cs="Times New Roman"/>
          <w:sz w:val="24"/>
          <w:szCs w:val="24"/>
        </w:rPr>
        <w:t xml:space="preserve"> </w:t>
      </w:r>
    </w:p>
    <w:p w:rsidR="00CB5EA7" w:rsidRPr="00A02408" w:rsidRDefault="00A02408" w:rsidP="00A02408">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690B73" w:rsidRPr="00A02408">
        <w:rPr>
          <w:rFonts w:ascii="Times New Roman" w:hAnsi="Times New Roman" w:cs="Times New Roman"/>
          <w:sz w:val="24"/>
          <w:szCs w:val="24"/>
        </w:rPr>
        <w:t xml:space="preserve">El arbitraje del gobierno británico fue solicitado por ambos países el 22 de julio de 1971, siendo presidentes Alejandro </w:t>
      </w:r>
      <w:proofErr w:type="spellStart"/>
      <w:r w:rsidR="00690B73" w:rsidRPr="00A02408">
        <w:rPr>
          <w:rFonts w:ascii="Times New Roman" w:hAnsi="Times New Roman" w:cs="Times New Roman"/>
          <w:sz w:val="24"/>
          <w:szCs w:val="24"/>
        </w:rPr>
        <w:t>Lanusse</w:t>
      </w:r>
      <w:proofErr w:type="spellEnd"/>
      <w:r w:rsidR="00690B73" w:rsidRPr="00A02408">
        <w:rPr>
          <w:rFonts w:ascii="Times New Roman" w:hAnsi="Times New Roman" w:cs="Times New Roman"/>
          <w:sz w:val="24"/>
          <w:szCs w:val="24"/>
        </w:rPr>
        <w:t xml:space="preserve"> </w:t>
      </w:r>
      <w:r w:rsidR="00C67D0F" w:rsidRPr="00A02408">
        <w:rPr>
          <w:rFonts w:ascii="Times New Roman" w:hAnsi="Times New Roman" w:cs="Times New Roman"/>
          <w:sz w:val="24"/>
          <w:szCs w:val="24"/>
        </w:rPr>
        <w:t xml:space="preserve">y Salvador Allende. </w:t>
      </w:r>
      <w:r w:rsidR="00E37B26" w:rsidRPr="00A02408">
        <w:rPr>
          <w:rFonts w:ascii="Times New Roman" w:hAnsi="Times New Roman" w:cs="Times New Roman"/>
          <w:sz w:val="24"/>
          <w:szCs w:val="24"/>
        </w:rPr>
        <w:t xml:space="preserve">La corte arbitral se constituyó </w:t>
      </w:r>
      <w:r w:rsidR="00690B73" w:rsidRPr="00A02408">
        <w:rPr>
          <w:rFonts w:ascii="Times New Roman" w:hAnsi="Times New Roman" w:cs="Times New Roman"/>
          <w:sz w:val="24"/>
          <w:szCs w:val="24"/>
        </w:rPr>
        <w:t xml:space="preserve">por cinco jueces integrantes de la Corte Internacional de Justicia </w:t>
      </w:r>
      <w:r w:rsidR="00E37B26" w:rsidRPr="00A02408">
        <w:rPr>
          <w:rFonts w:ascii="Times New Roman" w:hAnsi="Times New Roman" w:cs="Times New Roman"/>
          <w:sz w:val="24"/>
          <w:szCs w:val="24"/>
        </w:rPr>
        <w:t>con sede en La Haya (concesión al deseo de Argentina de recurrir a ese tribunal)</w:t>
      </w:r>
      <w:r w:rsidR="00690B73" w:rsidRPr="00A02408">
        <w:rPr>
          <w:rFonts w:ascii="Times New Roman" w:hAnsi="Times New Roman" w:cs="Times New Roman"/>
          <w:sz w:val="24"/>
          <w:szCs w:val="24"/>
        </w:rPr>
        <w:t xml:space="preserve"> quienes</w:t>
      </w:r>
      <w:r w:rsidR="0006364A" w:rsidRPr="00A02408">
        <w:rPr>
          <w:rFonts w:ascii="Times New Roman" w:hAnsi="Times New Roman" w:cs="Times New Roman"/>
          <w:sz w:val="24"/>
          <w:szCs w:val="24"/>
        </w:rPr>
        <w:t xml:space="preserve"> fueron elegidos en consenso por ambos países y</w:t>
      </w:r>
      <w:r w:rsidR="00690B73" w:rsidRPr="00A02408">
        <w:rPr>
          <w:rFonts w:ascii="Times New Roman" w:hAnsi="Times New Roman" w:cs="Times New Roman"/>
          <w:sz w:val="24"/>
          <w:szCs w:val="24"/>
        </w:rPr>
        <w:t xml:space="preserve"> debían entregar su fallo al gobierno británico, que finalmente lo aprobaría o rechazaría sin modificarlo.</w:t>
      </w:r>
      <w:r w:rsidR="00E37B26" w:rsidRPr="00A02408">
        <w:rPr>
          <w:rFonts w:ascii="Times New Roman" w:hAnsi="Times New Roman" w:cs="Times New Roman"/>
          <w:sz w:val="24"/>
          <w:szCs w:val="24"/>
        </w:rPr>
        <w:t xml:space="preserve"> De los cinco jueces</w:t>
      </w:r>
      <w:r w:rsidR="00C67D0F" w:rsidRPr="00A02408">
        <w:rPr>
          <w:rFonts w:ascii="Times New Roman" w:hAnsi="Times New Roman" w:cs="Times New Roman"/>
          <w:sz w:val="24"/>
          <w:szCs w:val="24"/>
        </w:rPr>
        <w:t>,</w:t>
      </w:r>
      <w:r w:rsidR="00E37B26" w:rsidRPr="00A02408">
        <w:rPr>
          <w:rFonts w:ascii="Times New Roman" w:hAnsi="Times New Roman" w:cs="Times New Roman"/>
          <w:sz w:val="24"/>
          <w:szCs w:val="24"/>
        </w:rPr>
        <w:t xml:space="preserve"> uno era británico. </w:t>
      </w:r>
    </w:p>
    <w:p w:rsidR="00207846" w:rsidRPr="00A02408" w:rsidRDefault="00A02408" w:rsidP="00A02408">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207846" w:rsidRPr="00A02408">
        <w:rPr>
          <w:rFonts w:ascii="Times New Roman" w:hAnsi="Times New Roman" w:cs="Times New Roman"/>
          <w:sz w:val="24"/>
          <w:szCs w:val="24"/>
        </w:rPr>
        <w:t>Las partes litigantes no pudieron reducir el problema a una única solicitud de resolución, por lo que cada una presentó la propia. Por Argentina</w:t>
      </w:r>
      <w:r w:rsidRPr="00A02408">
        <w:rPr>
          <w:rFonts w:ascii="Times New Roman" w:hAnsi="Times New Roman" w:cs="Times New Roman"/>
          <w:sz w:val="24"/>
          <w:szCs w:val="24"/>
        </w:rPr>
        <w:t>,</w:t>
      </w:r>
      <w:r w:rsidR="00207846" w:rsidRPr="00A02408">
        <w:rPr>
          <w:rFonts w:ascii="Times New Roman" w:hAnsi="Times New Roman" w:cs="Times New Roman"/>
          <w:sz w:val="24"/>
          <w:szCs w:val="24"/>
        </w:rPr>
        <w:t xml:space="preserve"> la solicitud fue la determinación de la línea del límite entre las respectivas jurisdicciones marítimas de la República Argentina y la República de Chile desde el meridiano 68º 36´ 38.5" W., y, en consecuencia, debía declararse que las islas </w:t>
      </w:r>
      <w:proofErr w:type="spellStart"/>
      <w:r w:rsidR="00207846" w:rsidRPr="00A02408">
        <w:rPr>
          <w:rFonts w:ascii="Times New Roman" w:hAnsi="Times New Roman" w:cs="Times New Roman"/>
          <w:sz w:val="24"/>
          <w:szCs w:val="24"/>
        </w:rPr>
        <w:t>Picton</w:t>
      </w:r>
      <w:proofErr w:type="spellEnd"/>
      <w:r w:rsidR="00207846" w:rsidRPr="00A02408">
        <w:rPr>
          <w:rFonts w:ascii="Times New Roman" w:hAnsi="Times New Roman" w:cs="Times New Roman"/>
          <w:sz w:val="24"/>
          <w:szCs w:val="24"/>
        </w:rPr>
        <w:t xml:space="preserve">, Nueva y </w:t>
      </w:r>
      <w:proofErr w:type="spellStart"/>
      <w:r w:rsidR="00207846" w:rsidRPr="00A02408">
        <w:rPr>
          <w:rFonts w:ascii="Times New Roman" w:hAnsi="Times New Roman" w:cs="Times New Roman"/>
          <w:sz w:val="24"/>
          <w:szCs w:val="24"/>
        </w:rPr>
        <w:t>Lennox</w:t>
      </w:r>
      <w:proofErr w:type="spellEnd"/>
      <w:r w:rsidR="00207846" w:rsidRPr="00A02408">
        <w:rPr>
          <w:rFonts w:ascii="Times New Roman" w:hAnsi="Times New Roman" w:cs="Times New Roman"/>
          <w:sz w:val="24"/>
          <w:szCs w:val="24"/>
        </w:rPr>
        <w:t xml:space="preserve"> e islas e islotes adyacentes pertenecían a la República Argentina. Por su parte, la solicitud de Chile solo se centraba en la adjudicaci</w:t>
      </w:r>
      <w:r w:rsidR="00450868" w:rsidRPr="00A02408">
        <w:rPr>
          <w:rFonts w:ascii="Times New Roman" w:hAnsi="Times New Roman" w:cs="Times New Roman"/>
          <w:sz w:val="24"/>
          <w:szCs w:val="24"/>
        </w:rPr>
        <w:t>ón de dichas islas, islotes adyacentes y</w:t>
      </w:r>
      <w:r w:rsidR="00207846" w:rsidRPr="00A02408">
        <w:rPr>
          <w:rFonts w:ascii="Times New Roman" w:hAnsi="Times New Roman" w:cs="Times New Roman"/>
          <w:sz w:val="24"/>
          <w:szCs w:val="24"/>
        </w:rPr>
        <w:t xml:space="preserve"> las demás islas e islotes cuya superficie total se encuentra íntegram</w:t>
      </w:r>
      <w:r w:rsidR="00450868" w:rsidRPr="00A02408">
        <w:rPr>
          <w:rFonts w:ascii="Times New Roman" w:hAnsi="Times New Roman" w:cs="Times New Roman"/>
          <w:sz w:val="24"/>
          <w:szCs w:val="24"/>
        </w:rPr>
        <w:t>ente dentro de l</w:t>
      </w:r>
      <w:r w:rsidR="0006364A" w:rsidRPr="00A02408">
        <w:rPr>
          <w:rFonts w:ascii="Times New Roman" w:hAnsi="Times New Roman" w:cs="Times New Roman"/>
          <w:sz w:val="24"/>
          <w:szCs w:val="24"/>
        </w:rPr>
        <w:t>a zona que fue indicada como un polígono de seis puntos en forma de “L”</w:t>
      </w:r>
      <w:r w:rsidR="00450868" w:rsidRPr="00A02408">
        <w:rPr>
          <w:rFonts w:ascii="Times New Roman" w:hAnsi="Times New Roman" w:cs="Times New Roman"/>
          <w:sz w:val="24"/>
          <w:szCs w:val="24"/>
        </w:rPr>
        <w:t xml:space="preserve"> </w:t>
      </w:r>
      <w:r w:rsidR="00CC2337" w:rsidRPr="00A02408">
        <w:rPr>
          <w:rFonts w:ascii="Times New Roman" w:hAnsi="Times New Roman" w:cs="Times New Roman"/>
          <w:sz w:val="24"/>
          <w:szCs w:val="24"/>
        </w:rPr>
        <w:t xml:space="preserve"> acostada hacia abajo, el martillo del laudo (remitirse a imagen)</w:t>
      </w:r>
      <w:r w:rsidR="0006364A" w:rsidRPr="00A02408">
        <w:rPr>
          <w:rFonts w:ascii="Times New Roman" w:hAnsi="Times New Roman" w:cs="Times New Roman"/>
          <w:sz w:val="24"/>
          <w:szCs w:val="24"/>
        </w:rPr>
        <w:t xml:space="preserve">. </w:t>
      </w:r>
    </w:p>
    <w:p w:rsidR="005C45F0" w:rsidRPr="00A02408" w:rsidRDefault="00A02408" w:rsidP="00A02408">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207846" w:rsidRPr="00A02408">
        <w:rPr>
          <w:rFonts w:ascii="Times New Roman" w:hAnsi="Times New Roman" w:cs="Times New Roman"/>
          <w:sz w:val="24"/>
          <w:szCs w:val="24"/>
        </w:rPr>
        <w:t>A pesar de sus diferencias en la interpretación, la corte arbitral observó que ambos litig</w:t>
      </w:r>
      <w:r w:rsidR="00210E4B" w:rsidRPr="00A02408">
        <w:rPr>
          <w:rFonts w:ascii="Times New Roman" w:hAnsi="Times New Roman" w:cs="Times New Roman"/>
          <w:sz w:val="24"/>
          <w:szCs w:val="24"/>
        </w:rPr>
        <w:t>antes estaban de acuerdo en que s</w:t>
      </w:r>
      <w:r w:rsidR="00207846" w:rsidRPr="00A02408">
        <w:rPr>
          <w:rFonts w:ascii="Times New Roman" w:hAnsi="Times New Roman" w:cs="Times New Roman"/>
          <w:sz w:val="24"/>
          <w:szCs w:val="24"/>
        </w:rPr>
        <w:t>us derechos sobre el área disputada est</w:t>
      </w:r>
      <w:r w:rsidR="00210E4B" w:rsidRPr="00A02408">
        <w:rPr>
          <w:rFonts w:ascii="Times New Roman" w:hAnsi="Times New Roman" w:cs="Times New Roman"/>
          <w:sz w:val="24"/>
          <w:szCs w:val="24"/>
        </w:rPr>
        <w:t>aba</w:t>
      </w:r>
      <w:r w:rsidR="00207846" w:rsidRPr="00A02408">
        <w:rPr>
          <w:rFonts w:ascii="Times New Roman" w:hAnsi="Times New Roman" w:cs="Times New Roman"/>
          <w:sz w:val="24"/>
          <w:szCs w:val="24"/>
        </w:rPr>
        <w:t>n gobernados exclusivamente e</w:t>
      </w:r>
      <w:r w:rsidR="00210E4B" w:rsidRPr="00A02408">
        <w:rPr>
          <w:rFonts w:ascii="Times New Roman" w:hAnsi="Times New Roman" w:cs="Times New Roman"/>
          <w:sz w:val="24"/>
          <w:szCs w:val="24"/>
        </w:rPr>
        <w:t>n el Tratado de Límites de 1881</w:t>
      </w:r>
      <w:r w:rsidR="005C45F0" w:rsidRPr="00A02408">
        <w:rPr>
          <w:rFonts w:ascii="Times New Roman" w:hAnsi="Times New Roman" w:cs="Times New Roman"/>
          <w:sz w:val="24"/>
          <w:szCs w:val="24"/>
        </w:rPr>
        <w:t>,  por lo que la corte se reservó el derecho a recurrir a cualquier otra consideración jurídica válida y relevante</w:t>
      </w:r>
      <w:r w:rsidR="00210E4B" w:rsidRPr="00A02408">
        <w:rPr>
          <w:rFonts w:ascii="Times New Roman" w:hAnsi="Times New Roman" w:cs="Times New Roman"/>
          <w:sz w:val="24"/>
          <w:szCs w:val="24"/>
        </w:rPr>
        <w:t xml:space="preserve">. </w:t>
      </w:r>
    </w:p>
    <w:p w:rsidR="005C45F0" w:rsidRPr="00A02408" w:rsidRDefault="00A02408" w:rsidP="00F4122E">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5C45F0" w:rsidRPr="00A02408">
        <w:rPr>
          <w:rFonts w:ascii="Times New Roman" w:hAnsi="Times New Roman" w:cs="Times New Roman"/>
          <w:sz w:val="24"/>
          <w:szCs w:val="24"/>
        </w:rPr>
        <w:t xml:space="preserve">Dicho Tratado </w:t>
      </w:r>
      <w:r w:rsidR="00207846" w:rsidRPr="00A02408">
        <w:rPr>
          <w:rFonts w:ascii="Times New Roman" w:hAnsi="Times New Roman" w:cs="Times New Roman"/>
          <w:sz w:val="24"/>
          <w:szCs w:val="24"/>
        </w:rPr>
        <w:t xml:space="preserve">tenía como fin establecer un acuerdo completo, definitivo y final de todas las cuestiones territoriales pendientes en ese momento entre ambos países, por lo que ningún territorio disputado </w:t>
      </w:r>
      <w:r w:rsidR="00210E4B" w:rsidRPr="00A02408">
        <w:rPr>
          <w:rFonts w:ascii="Times New Roman" w:hAnsi="Times New Roman" w:cs="Times New Roman"/>
          <w:sz w:val="24"/>
          <w:szCs w:val="24"/>
        </w:rPr>
        <w:t>había quedado</w:t>
      </w:r>
      <w:r w:rsidR="00207846" w:rsidRPr="00A02408">
        <w:rPr>
          <w:rFonts w:ascii="Times New Roman" w:hAnsi="Times New Roman" w:cs="Times New Roman"/>
          <w:sz w:val="24"/>
          <w:szCs w:val="24"/>
        </w:rPr>
        <w:t xml:space="preserve"> sin asignar, incluso si las demarcaciones quedaron para resolver posteriormente o existían diferencias de interpretación sin resolver.</w:t>
      </w:r>
      <w:r w:rsidR="00210E4B" w:rsidRPr="00A02408">
        <w:rPr>
          <w:rFonts w:ascii="Times New Roman" w:hAnsi="Times New Roman" w:cs="Times New Roman"/>
          <w:sz w:val="24"/>
          <w:szCs w:val="24"/>
        </w:rPr>
        <w:t xml:space="preserve"> De hecho, la corte comprendió que ambas partes estaban de acuerdo en que el Tratado fue un compromiso entre las dos reclamaciones rivales a los mismos territorios, pero discrepaban sobre</w:t>
      </w:r>
      <w:r w:rsidR="005C45F0" w:rsidRPr="00A02408">
        <w:rPr>
          <w:rFonts w:ascii="Times New Roman" w:hAnsi="Times New Roman" w:cs="Times New Roman"/>
          <w:sz w:val="24"/>
          <w:szCs w:val="24"/>
        </w:rPr>
        <w:t xml:space="preserve"> el</w:t>
      </w:r>
      <w:r w:rsidR="00210E4B" w:rsidRPr="00A02408">
        <w:rPr>
          <w:rFonts w:ascii="Times New Roman" w:hAnsi="Times New Roman" w:cs="Times New Roman"/>
          <w:sz w:val="24"/>
          <w:szCs w:val="24"/>
        </w:rPr>
        <w:t xml:space="preserve"> carácter de ese compromiso y de qué reclamaciones territoriales estaban cubiertas por él. </w:t>
      </w:r>
    </w:p>
    <w:p w:rsidR="005C45F0" w:rsidRPr="00A02408" w:rsidRDefault="00A02408" w:rsidP="00F4122E">
      <w:pPr>
        <w:jc w:val="both"/>
        <w:rPr>
          <w:rFonts w:ascii="Times New Roman" w:hAnsi="Times New Roman" w:cs="Times New Roman"/>
          <w:sz w:val="24"/>
          <w:szCs w:val="24"/>
        </w:rPr>
      </w:pPr>
      <w:r w:rsidRPr="00A02408">
        <w:rPr>
          <w:rFonts w:ascii="Times New Roman" w:hAnsi="Times New Roman" w:cs="Times New Roman"/>
          <w:sz w:val="24"/>
          <w:szCs w:val="24"/>
        </w:rPr>
        <w:lastRenderedPageBreak/>
        <w:t xml:space="preserve">     </w:t>
      </w:r>
      <w:r w:rsidR="00210E4B" w:rsidRPr="00A02408">
        <w:rPr>
          <w:rFonts w:ascii="Times New Roman" w:hAnsi="Times New Roman" w:cs="Times New Roman"/>
          <w:sz w:val="24"/>
          <w:szCs w:val="24"/>
        </w:rPr>
        <w:t>Para Argentina los tres primeros artículos del tratado eran independientes entre sí, siendo cada uno un sector distinto, mientras que para Chile debían interpretarse como un to</w:t>
      </w:r>
      <w:r w:rsidR="005C45F0" w:rsidRPr="00A02408">
        <w:rPr>
          <w:rFonts w:ascii="Times New Roman" w:hAnsi="Times New Roman" w:cs="Times New Roman"/>
          <w:sz w:val="24"/>
          <w:szCs w:val="24"/>
        </w:rPr>
        <w:t>do, no pudiéndose comprender ple</w:t>
      </w:r>
      <w:r w:rsidR="00210E4B" w:rsidRPr="00A02408">
        <w:rPr>
          <w:rFonts w:ascii="Times New Roman" w:hAnsi="Times New Roman" w:cs="Times New Roman"/>
          <w:sz w:val="24"/>
          <w:szCs w:val="24"/>
        </w:rPr>
        <w:t>namente cada uno por separado sin el concurso de los otros. La corte arbitral coincidió en ese punto con la opinión chilena.</w:t>
      </w:r>
      <w:r w:rsidR="005C45F0" w:rsidRPr="00A02408">
        <w:rPr>
          <w:rFonts w:ascii="Times New Roman" w:hAnsi="Times New Roman" w:cs="Times New Roman"/>
          <w:sz w:val="24"/>
          <w:szCs w:val="24"/>
        </w:rPr>
        <w:t xml:space="preserve"> </w:t>
      </w:r>
    </w:p>
    <w:p w:rsidR="00F4122E" w:rsidRPr="00A02408" w:rsidRDefault="00A02408" w:rsidP="00F4122E">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210E4B" w:rsidRPr="00A02408">
        <w:rPr>
          <w:rFonts w:ascii="Times New Roman" w:hAnsi="Times New Roman" w:cs="Times New Roman"/>
          <w:sz w:val="24"/>
          <w:szCs w:val="24"/>
        </w:rPr>
        <w:t xml:space="preserve">Chile expresó que el aspecto esencial del tratado fue su renuncia a la Patagonia propia (al norte de la línea punta </w:t>
      </w:r>
      <w:proofErr w:type="spellStart"/>
      <w:r w:rsidR="00210E4B" w:rsidRPr="00A02408">
        <w:rPr>
          <w:rFonts w:ascii="Times New Roman" w:hAnsi="Times New Roman" w:cs="Times New Roman"/>
          <w:sz w:val="24"/>
          <w:szCs w:val="24"/>
        </w:rPr>
        <w:t>Dungeness</w:t>
      </w:r>
      <w:proofErr w:type="spellEnd"/>
      <w:r w:rsidR="00210E4B" w:rsidRPr="00A02408">
        <w:rPr>
          <w:rFonts w:ascii="Times New Roman" w:hAnsi="Times New Roman" w:cs="Times New Roman"/>
          <w:sz w:val="24"/>
          <w:szCs w:val="24"/>
        </w:rPr>
        <w:t xml:space="preserve">-paralelo 52° Sur y al este de los Andes) a cambio de la renuncia argentina a toda reclamación magallánica, incluyendo el reconocimiento de su exclusivo control sobre el estrecho de Magallanes y de todas las costas e islas al sur de la línea punta </w:t>
      </w:r>
      <w:proofErr w:type="spellStart"/>
      <w:r w:rsidR="00210E4B" w:rsidRPr="00A02408">
        <w:rPr>
          <w:rFonts w:ascii="Times New Roman" w:hAnsi="Times New Roman" w:cs="Times New Roman"/>
          <w:sz w:val="24"/>
          <w:szCs w:val="24"/>
        </w:rPr>
        <w:t>Dungeness</w:t>
      </w:r>
      <w:proofErr w:type="spellEnd"/>
      <w:r w:rsidR="00210E4B" w:rsidRPr="00A02408">
        <w:rPr>
          <w:rFonts w:ascii="Times New Roman" w:hAnsi="Times New Roman" w:cs="Times New Roman"/>
          <w:sz w:val="24"/>
          <w:szCs w:val="24"/>
        </w:rPr>
        <w:t>-Andes hasta el cabo de Hornos</w:t>
      </w:r>
      <w:r w:rsidR="005C45F0" w:rsidRPr="00A02408">
        <w:rPr>
          <w:rFonts w:ascii="Times New Roman" w:hAnsi="Times New Roman" w:cs="Times New Roman"/>
          <w:sz w:val="24"/>
          <w:szCs w:val="24"/>
        </w:rPr>
        <w:t>. Argentina rechazó completamente ese punto de vista, expresando que el país trasandino nunca tuvo ninguna reclamación válida sobre la Patagonia propia, considerando que nunca entró en el compromiso, y que las definiciones del tratado sobre sus límites eran solo un reconocimiento a los títulos argen</w:t>
      </w:r>
      <w:r w:rsidR="00F4122E" w:rsidRPr="00A02408">
        <w:rPr>
          <w:rFonts w:ascii="Times New Roman" w:hAnsi="Times New Roman" w:cs="Times New Roman"/>
          <w:sz w:val="24"/>
          <w:szCs w:val="24"/>
        </w:rPr>
        <w:t xml:space="preserve">tinos ya adquiridos sobre ella, por lo que </w:t>
      </w:r>
      <w:r w:rsidR="005C45F0" w:rsidRPr="00A02408">
        <w:rPr>
          <w:rFonts w:ascii="Times New Roman" w:hAnsi="Times New Roman" w:cs="Times New Roman"/>
          <w:sz w:val="24"/>
          <w:szCs w:val="24"/>
        </w:rPr>
        <w:t xml:space="preserve">se reconoció a Chile el área magallánica a cambio del reconocimiento chileno al principio atlántico de Argentina, correspondiéndole todas las islas al oriente de la Tierra del Fuego que estén sobre el Atlántico. </w:t>
      </w:r>
    </w:p>
    <w:p w:rsidR="005C45F0" w:rsidRPr="00A02408" w:rsidRDefault="00A02408" w:rsidP="00F4122E">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5C45F0" w:rsidRPr="00A02408">
        <w:rPr>
          <w:rFonts w:ascii="Times New Roman" w:hAnsi="Times New Roman" w:cs="Times New Roman"/>
          <w:sz w:val="24"/>
          <w:szCs w:val="24"/>
        </w:rPr>
        <w:t xml:space="preserve">La corte arbitral compartió la posición chilena y aceptó que las relaciones sistémicas y el contexto político se expresan más por una alternativa "Patagonia por Magallanes" que por una alternativa "Magallanes por Atlántico", dado que la palabra “pertenecerán” en el párrafo </w:t>
      </w:r>
      <w:r w:rsidR="005C45F0" w:rsidRPr="00A02408">
        <w:rPr>
          <w:rFonts w:ascii="Times New Roman" w:hAnsi="Times New Roman" w:cs="Times New Roman"/>
          <w:i/>
          <w:sz w:val="24"/>
          <w:szCs w:val="24"/>
        </w:rPr>
        <w:t xml:space="preserve">Los territorios que quedan al Norte de dicha línea </w:t>
      </w:r>
      <w:r w:rsidR="005C45F0" w:rsidRPr="00A02408">
        <w:rPr>
          <w:rFonts w:ascii="Times New Roman" w:hAnsi="Times New Roman" w:cs="Times New Roman"/>
          <w:i/>
          <w:sz w:val="24"/>
          <w:szCs w:val="24"/>
          <w:u w:val="single"/>
        </w:rPr>
        <w:t>pertenecerán</w:t>
      </w:r>
      <w:r w:rsidR="005C45F0" w:rsidRPr="00A02408">
        <w:rPr>
          <w:rFonts w:ascii="Times New Roman" w:hAnsi="Times New Roman" w:cs="Times New Roman"/>
          <w:i/>
          <w:sz w:val="24"/>
          <w:szCs w:val="24"/>
        </w:rPr>
        <w:t xml:space="preserve"> a la República Argentina</w:t>
      </w:r>
      <w:r w:rsidR="005C45F0" w:rsidRPr="00A02408">
        <w:rPr>
          <w:rFonts w:ascii="Times New Roman" w:hAnsi="Times New Roman" w:cs="Times New Roman"/>
          <w:sz w:val="24"/>
          <w:szCs w:val="24"/>
        </w:rPr>
        <w:t xml:space="preserve"> del artículo 2 significa una atribución de territorio. Caso contrario debería haber dicho “pertenecen”.</w:t>
      </w:r>
    </w:p>
    <w:p w:rsidR="005C45F0" w:rsidRPr="00A02408" w:rsidRDefault="00A02408" w:rsidP="00F4122E">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5C45F0" w:rsidRPr="00A02408">
        <w:rPr>
          <w:rFonts w:ascii="Times New Roman" w:hAnsi="Times New Roman" w:cs="Times New Roman"/>
          <w:sz w:val="24"/>
          <w:szCs w:val="24"/>
        </w:rPr>
        <w:t xml:space="preserve">La sentencia de la corte arbitral fue dada a conocer al gobierno británico el 18 de febrero de 1977 y fue el resultado de un análisis de los derechos jurídicos de ambos países sobre la zona disputada en el marco de los principios del derecho internacional y de los tratados vigentes. Para ello, ambos países presentaron memorias, </w:t>
      </w:r>
      <w:proofErr w:type="spellStart"/>
      <w:r w:rsidR="005C45F0" w:rsidRPr="00A02408">
        <w:rPr>
          <w:rFonts w:ascii="Times New Roman" w:hAnsi="Times New Roman" w:cs="Times New Roman"/>
          <w:sz w:val="24"/>
          <w:szCs w:val="24"/>
        </w:rPr>
        <w:t>contramemorias</w:t>
      </w:r>
      <w:proofErr w:type="spellEnd"/>
      <w:r w:rsidR="005C45F0" w:rsidRPr="00A02408">
        <w:rPr>
          <w:rFonts w:ascii="Times New Roman" w:hAnsi="Times New Roman" w:cs="Times New Roman"/>
          <w:sz w:val="24"/>
          <w:szCs w:val="24"/>
        </w:rPr>
        <w:t xml:space="preserve">, réplicas y alegatos en forma de documentos y argumentos que, según su interpretación, respaldaban sus derechos sobre la zona y luego defendieron oralmente ante los jueces sus respectivas tesis. Los escritos acumulados sumaron 14 volúmenes por Chile, entre los cuales </w:t>
      </w:r>
      <w:r w:rsidR="009D14F4" w:rsidRPr="00A02408">
        <w:rPr>
          <w:rFonts w:ascii="Times New Roman" w:hAnsi="Times New Roman" w:cs="Times New Roman"/>
          <w:sz w:val="24"/>
          <w:szCs w:val="24"/>
        </w:rPr>
        <w:t>había</w:t>
      </w:r>
      <w:r w:rsidR="005C45F0" w:rsidRPr="00A02408">
        <w:rPr>
          <w:rFonts w:ascii="Times New Roman" w:hAnsi="Times New Roman" w:cs="Times New Roman"/>
          <w:sz w:val="24"/>
          <w:szCs w:val="24"/>
        </w:rPr>
        <w:t xml:space="preserve"> 213 mapas, y 12 volúmenes por la Argentina con 195 mapas.</w:t>
      </w:r>
    </w:p>
    <w:p w:rsidR="00F4122E" w:rsidRPr="00A02408" w:rsidRDefault="00A02408" w:rsidP="00F4122E">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5C45F0" w:rsidRPr="00A02408">
        <w:rPr>
          <w:rFonts w:ascii="Times New Roman" w:hAnsi="Times New Roman" w:cs="Times New Roman"/>
          <w:sz w:val="24"/>
          <w:szCs w:val="24"/>
        </w:rPr>
        <w:t xml:space="preserve">Sin embargo y tras el anuncio oficial, el 25 de enero de 1978 el canciller argentino comunicó al embajador chileno en Buenos Aires que su gobierno declaraba nulo al laudo arbitral, lo cual fue contestado al día siguiente por el gobierno chileno rechazando la declaración de nulidad.  </w:t>
      </w:r>
    </w:p>
    <w:p w:rsidR="009654B3" w:rsidRPr="00A02408" w:rsidRDefault="009D14F4" w:rsidP="009654B3">
      <w:pPr>
        <w:jc w:val="both"/>
        <w:rPr>
          <w:rFonts w:ascii="Times New Roman" w:hAnsi="Times New Roman" w:cs="Times New Roman"/>
          <w:sz w:val="24"/>
          <w:szCs w:val="24"/>
        </w:rPr>
      </w:pPr>
      <w:r w:rsidRPr="00A02408">
        <w:rPr>
          <w:rFonts w:ascii="Times New Roman" w:hAnsi="Times New Roman" w:cs="Times New Roman"/>
          <w:sz w:val="24"/>
          <w:szCs w:val="24"/>
        </w:rPr>
        <w:t xml:space="preserve">El 20 de febrero de 1978 Argentina y Chile firmaron un acuerdo en Puerto Montt, estableciendo las bases de negociaciones para resolver sus diferencias, pero hacia fines de año la guerra parecía inminente. La intervención del papa Juan Pablo II hizo que el 8 </w:t>
      </w:r>
      <w:r w:rsidRPr="00A02408">
        <w:rPr>
          <w:rFonts w:ascii="Times New Roman" w:hAnsi="Times New Roman" w:cs="Times New Roman"/>
          <w:sz w:val="24"/>
          <w:szCs w:val="24"/>
        </w:rPr>
        <w:lastRenderedPageBreak/>
        <w:t xml:space="preserve">de enero de 1979 los dos estados firmaran el Acta de Montevideo, </w:t>
      </w:r>
      <w:r w:rsidR="009654B3" w:rsidRPr="00A02408">
        <w:rPr>
          <w:rFonts w:ascii="Times New Roman" w:hAnsi="Times New Roman" w:cs="Times New Roman"/>
          <w:sz w:val="24"/>
          <w:szCs w:val="24"/>
        </w:rPr>
        <w:t xml:space="preserve">con </w:t>
      </w:r>
      <w:r w:rsidRPr="00A02408">
        <w:rPr>
          <w:rFonts w:ascii="Times New Roman" w:hAnsi="Times New Roman" w:cs="Times New Roman"/>
          <w:sz w:val="24"/>
          <w:szCs w:val="24"/>
        </w:rPr>
        <w:t>la mediación de la Santa Sede.</w:t>
      </w:r>
    </w:p>
    <w:p w:rsidR="005C45F0" w:rsidRPr="00A02408" w:rsidRDefault="00A02408" w:rsidP="009D14F4">
      <w:pPr>
        <w:jc w:val="both"/>
        <w:rPr>
          <w:rFonts w:ascii="Times New Roman" w:hAnsi="Times New Roman" w:cs="Times New Roman"/>
          <w:sz w:val="24"/>
          <w:szCs w:val="24"/>
        </w:rPr>
      </w:pPr>
      <w:r w:rsidRPr="00A02408">
        <w:rPr>
          <w:rFonts w:ascii="Times New Roman" w:hAnsi="Times New Roman" w:cs="Times New Roman"/>
          <w:sz w:val="24"/>
          <w:szCs w:val="24"/>
        </w:rPr>
        <w:t xml:space="preserve">     </w:t>
      </w:r>
      <w:r w:rsidR="009654B3" w:rsidRPr="00A02408">
        <w:rPr>
          <w:rFonts w:ascii="Times New Roman" w:hAnsi="Times New Roman" w:cs="Times New Roman"/>
          <w:sz w:val="24"/>
          <w:szCs w:val="24"/>
        </w:rPr>
        <w:t xml:space="preserve">El Conflicto del Beagle fue finalmente solucionado con la firma del Tratado de Paz y Amistad varios años después,  el 29 de noviembre de 1984, lo que constituyó una transacción entre las dos partes. </w:t>
      </w:r>
      <w:r w:rsidR="009D14F4" w:rsidRPr="00A02408">
        <w:rPr>
          <w:rFonts w:ascii="Times New Roman" w:hAnsi="Times New Roman" w:cs="Times New Roman"/>
          <w:sz w:val="24"/>
          <w:szCs w:val="24"/>
        </w:rPr>
        <w:t>Aunque el Laudo Arbitral</w:t>
      </w:r>
      <w:r w:rsidR="00DF1F06" w:rsidRPr="00A02408">
        <w:rPr>
          <w:rFonts w:ascii="Times New Roman" w:hAnsi="Times New Roman" w:cs="Times New Roman"/>
          <w:sz w:val="24"/>
          <w:szCs w:val="24"/>
        </w:rPr>
        <w:t xml:space="preserve"> no es mencionado en el Tratado, </w:t>
      </w:r>
      <w:r w:rsidR="009D14F4" w:rsidRPr="00A02408">
        <w:rPr>
          <w:rFonts w:ascii="Times New Roman" w:hAnsi="Times New Roman" w:cs="Times New Roman"/>
          <w:sz w:val="24"/>
          <w:szCs w:val="24"/>
        </w:rPr>
        <w:t>éste adoptó como ya definida la frontera marítima en el canal Beagle y la pertenencia a Chile de todas las islas que el laudo le adjudica</w:t>
      </w:r>
      <w:r w:rsidR="00DF1F06" w:rsidRPr="00A02408">
        <w:rPr>
          <w:rFonts w:ascii="Times New Roman" w:hAnsi="Times New Roman" w:cs="Times New Roman"/>
          <w:sz w:val="24"/>
          <w:szCs w:val="24"/>
        </w:rPr>
        <w:t>ba</w:t>
      </w:r>
      <w:r w:rsidR="00CC2337" w:rsidRPr="00A02408">
        <w:rPr>
          <w:rFonts w:ascii="Times New Roman" w:hAnsi="Times New Roman" w:cs="Times New Roman"/>
          <w:sz w:val="24"/>
          <w:szCs w:val="24"/>
        </w:rPr>
        <w:t>, y aquellas reclamadas por Argentina que estaban fuera</w:t>
      </w:r>
      <w:r w:rsidR="009D14F4" w:rsidRPr="00A02408">
        <w:rPr>
          <w:rFonts w:ascii="Times New Roman" w:hAnsi="Times New Roman" w:cs="Times New Roman"/>
          <w:sz w:val="24"/>
          <w:szCs w:val="24"/>
        </w:rPr>
        <w:t xml:space="preserve"> del "martillo"</w:t>
      </w:r>
      <w:r w:rsidR="00CC2337" w:rsidRPr="00A02408">
        <w:rPr>
          <w:rFonts w:ascii="Times New Roman" w:hAnsi="Times New Roman" w:cs="Times New Roman"/>
          <w:sz w:val="24"/>
          <w:szCs w:val="24"/>
        </w:rPr>
        <w:t>,</w:t>
      </w:r>
      <w:r w:rsidR="009D14F4" w:rsidRPr="00A02408">
        <w:rPr>
          <w:rFonts w:ascii="Times New Roman" w:hAnsi="Times New Roman" w:cs="Times New Roman"/>
          <w:sz w:val="24"/>
          <w:szCs w:val="24"/>
        </w:rPr>
        <w:t xml:space="preserve"> al este del meridiano del cabo de Hornos</w:t>
      </w:r>
      <w:r w:rsidR="00CC2337" w:rsidRPr="00A02408">
        <w:rPr>
          <w:rFonts w:ascii="Times New Roman" w:hAnsi="Times New Roman" w:cs="Times New Roman"/>
          <w:sz w:val="24"/>
          <w:szCs w:val="24"/>
        </w:rPr>
        <w:t>.</w:t>
      </w:r>
    </w:p>
    <w:sectPr w:rsidR="005C45F0" w:rsidRPr="00A0240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C1" w:rsidRDefault="00DF41C1" w:rsidP="00A02408">
      <w:pPr>
        <w:spacing w:after="0" w:line="240" w:lineRule="auto"/>
      </w:pPr>
      <w:r>
        <w:separator/>
      </w:r>
    </w:p>
  </w:endnote>
  <w:endnote w:type="continuationSeparator" w:id="0">
    <w:p w:rsidR="00DF41C1" w:rsidRDefault="00DF41C1" w:rsidP="00A0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C1" w:rsidRDefault="00DF41C1" w:rsidP="00A02408">
      <w:pPr>
        <w:spacing w:after="0" w:line="240" w:lineRule="auto"/>
      </w:pPr>
      <w:r>
        <w:separator/>
      </w:r>
    </w:p>
  </w:footnote>
  <w:footnote w:type="continuationSeparator" w:id="0">
    <w:p w:rsidR="00DF41C1" w:rsidRDefault="00DF41C1" w:rsidP="00A02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08" w:rsidRPr="00E22DD2" w:rsidRDefault="00A02408" w:rsidP="00A02408">
    <w:pPr>
      <w:pStyle w:val="NormalWeb"/>
      <w:tabs>
        <w:tab w:val="left" w:pos="3293"/>
        <w:tab w:val="right" w:pos="9026"/>
      </w:tabs>
      <w:spacing w:before="0" w:beforeAutospacing="0" w:after="0" w:afterAutospacing="0"/>
      <w:rPr>
        <w:color w:val="000000"/>
      </w:rPr>
    </w:pPr>
    <w:r>
      <w:rPr>
        <w:color w:val="000000"/>
      </w:rPr>
      <w:tab/>
    </w:r>
    <w:r>
      <w:rPr>
        <w:color w:val="000000"/>
      </w:rPr>
      <w:tab/>
    </w:r>
    <w:r w:rsidRPr="00E22DD2">
      <w:rPr>
        <w:color w:val="000000"/>
      </w:rPr>
      <w:t>Red Federal de Historia de las Relaciones Internacionales</w:t>
    </w:r>
  </w:p>
  <w:p w:rsidR="00A02408" w:rsidRPr="00E22DD2" w:rsidRDefault="00A02408" w:rsidP="00A02408">
    <w:pPr>
      <w:pStyle w:val="NormalWeb"/>
      <w:spacing w:before="0" w:beforeAutospacing="0" w:after="0" w:afterAutospacing="0"/>
      <w:jc w:val="right"/>
      <w:rPr>
        <w:color w:val="000000"/>
      </w:rPr>
    </w:pPr>
    <w:r w:rsidRPr="00E22DD2">
      <w:rPr>
        <w:color w:val="000000"/>
      </w:rPr>
      <w:t>Departamento de Historia</w:t>
    </w:r>
  </w:p>
  <w:p w:rsidR="00A02408" w:rsidRDefault="00A02408" w:rsidP="00A02408">
    <w:pPr>
      <w:pStyle w:val="NormalWeb"/>
      <w:spacing w:before="0" w:beforeAutospacing="0" w:after="0" w:afterAutospacing="0"/>
      <w:jc w:val="right"/>
      <w:rPr>
        <w:color w:val="000000"/>
      </w:rPr>
    </w:pPr>
    <w:r w:rsidRPr="00E22DD2">
      <w:rPr>
        <w:color w:val="000000"/>
      </w:rPr>
      <w:t xml:space="preserve">Instituto de Relaciones Internacionales </w:t>
    </w:r>
    <w:r>
      <w:rPr>
        <w:color w:val="000000"/>
      </w:rPr>
      <w:t>– U.N.L.P.- 2017</w:t>
    </w:r>
  </w:p>
  <w:p w:rsidR="00A02408" w:rsidRDefault="00A024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72841"/>
    <w:multiLevelType w:val="multilevel"/>
    <w:tmpl w:val="0BE0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5C0BBA"/>
    <w:multiLevelType w:val="multilevel"/>
    <w:tmpl w:val="04D8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80462D"/>
    <w:multiLevelType w:val="multilevel"/>
    <w:tmpl w:val="D564F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73"/>
    <w:rsid w:val="0006364A"/>
    <w:rsid w:val="000F4522"/>
    <w:rsid w:val="001D2846"/>
    <w:rsid w:val="00207846"/>
    <w:rsid w:val="00210E4B"/>
    <w:rsid w:val="00450868"/>
    <w:rsid w:val="004D4720"/>
    <w:rsid w:val="00552A58"/>
    <w:rsid w:val="00561FC3"/>
    <w:rsid w:val="005C45F0"/>
    <w:rsid w:val="005D1D54"/>
    <w:rsid w:val="005D3E14"/>
    <w:rsid w:val="00690B73"/>
    <w:rsid w:val="006C49CE"/>
    <w:rsid w:val="00712F4A"/>
    <w:rsid w:val="007E52F2"/>
    <w:rsid w:val="008637BE"/>
    <w:rsid w:val="008F3D12"/>
    <w:rsid w:val="009654B3"/>
    <w:rsid w:val="009B138D"/>
    <w:rsid w:val="009D14F4"/>
    <w:rsid w:val="00A02408"/>
    <w:rsid w:val="00C67D0F"/>
    <w:rsid w:val="00CC2337"/>
    <w:rsid w:val="00CD691D"/>
    <w:rsid w:val="00D12B41"/>
    <w:rsid w:val="00DF1F06"/>
    <w:rsid w:val="00DF41C1"/>
    <w:rsid w:val="00E37B26"/>
    <w:rsid w:val="00E92F47"/>
    <w:rsid w:val="00F4122E"/>
    <w:rsid w:val="00FB5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E52F2"/>
  </w:style>
  <w:style w:type="character" w:styleId="Hipervnculo">
    <w:name w:val="Hyperlink"/>
    <w:basedOn w:val="Fuentedeprrafopredeter"/>
    <w:uiPriority w:val="99"/>
    <w:semiHidden/>
    <w:unhideWhenUsed/>
    <w:rsid w:val="007E52F2"/>
    <w:rPr>
      <w:color w:val="0000FF"/>
      <w:u w:val="single"/>
    </w:rPr>
  </w:style>
  <w:style w:type="paragraph" w:styleId="NormalWeb">
    <w:name w:val="Normal (Web)"/>
    <w:basedOn w:val="Normal"/>
    <w:uiPriority w:val="99"/>
    <w:semiHidden/>
    <w:unhideWhenUsed/>
    <w:rsid w:val="007E52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024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2408"/>
  </w:style>
  <w:style w:type="paragraph" w:styleId="Piedepgina">
    <w:name w:val="footer"/>
    <w:basedOn w:val="Normal"/>
    <w:link w:val="PiedepginaCar"/>
    <w:uiPriority w:val="99"/>
    <w:unhideWhenUsed/>
    <w:rsid w:val="00A024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2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E52F2"/>
  </w:style>
  <w:style w:type="character" w:styleId="Hipervnculo">
    <w:name w:val="Hyperlink"/>
    <w:basedOn w:val="Fuentedeprrafopredeter"/>
    <w:uiPriority w:val="99"/>
    <w:semiHidden/>
    <w:unhideWhenUsed/>
    <w:rsid w:val="007E52F2"/>
    <w:rPr>
      <w:color w:val="0000FF"/>
      <w:u w:val="single"/>
    </w:rPr>
  </w:style>
  <w:style w:type="paragraph" w:styleId="NormalWeb">
    <w:name w:val="Normal (Web)"/>
    <w:basedOn w:val="Normal"/>
    <w:uiPriority w:val="99"/>
    <w:semiHidden/>
    <w:unhideWhenUsed/>
    <w:rsid w:val="007E52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024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2408"/>
  </w:style>
  <w:style w:type="paragraph" w:styleId="Piedepgina">
    <w:name w:val="footer"/>
    <w:basedOn w:val="Normal"/>
    <w:link w:val="PiedepginaCar"/>
    <w:uiPriority w:val="99"/>
    <w:unhideWhenUsed/>
    <w:rsid w:val="00A024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7194">
      <w:bodyDiv w:val="1"/>
      <w:marLeft w:val="0"/>
      <w:marRight w:val="0"/>
      <w:marTop w:val="0"/>
      <w:marBottom w:val="0"/>
      <w:divBdr>
        <w:top w:val="none" w:sz="0" w:space="0" w:color="auto"/>
        <w:left w:val="none" w:sz="0" w:space="0" w:color="auto"/>
        <w:bottom w:val="none" w:sz="0" w:space="0" w:color="auto"/>
        <w:right w:val="none" w:sz="0" w:space="0" w:color="auto"/>
      </w:divBdr>
    </w:div>
    <w:div w:id="347100140">
      <w:bodyDiv w:val="1"/>
      <w:marLeft w:val="0"/>
      <w:marRight w:val="0"/>
      <w:marTop w:val="0"/>
      <w:marBottom w:val="0"/>
      <w:divBdr>
        <w:top w:val="none" w:sz="0" w:space="0" w:color="auto"/>
        <w:left w:val="none" w:sz="0" w:space="0" w:color="auto"/>
        <w:bottom w:val="none" w:sz="0" w:space="0" w:color="auto"/>
        <w:right w:val="none" w:sz="0" w:space="0" w:color="auto"/>
      </w:divBdr>
    </w:div>
    <w:div w:id="546914210">
      <w:bodyDiv w:val="1"/>
      <w:marLeft w:val="0"/>
      <w:marRight w:val="0"/>
      <w:marTop w:val="0"/>
      <w:marBottom w:val="0"/>
      <w:divBdr>
        <w:top w:val="none" w:sz="0" w:space="0" w:color="auto"/>
        <w:left w:val="none" w:sz="0" w:space="0" w:color="auto"/>
        <w:bottom w:val="none" w:sz="0" w:space="0" w:color="auto"/>
        <w:right w:val="none" w:sz="0" w:space="0" w:color="auto"/>
      </w:divBdr>
      <w:divsChild>
        <w:div w:id="473184442">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575020902">
      <w:bodyDiv w:val="1"/>
      <w:marLeft w:val="0"/>
      <w:marRight w:val="0"/>
      <w:marTop w:val="0"/>
      <w:marBottom w:val="0"/>
      <w:divBdr>
        <w:top w:val="none" w:sz="0" w:space="0" w:color="auto"/>
        <w:left w:val="none" w:sz="0" w:space="0" w:color="auto"/>
        <w:bottom w:val="none" w:sz="0" w:space="0" w:color="auto"/>
        <w:right w:val="none" w:sz="0" w:space="0" w:color="auto"/>
      </w:divBdr>
      <w:divsChild>
        <w:div w:id="2045448180">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648050796">
      <w:bodyDiv w:val="1"/>
      <w:marLeft w:val="0"/>
      <w:marRight w:val="0"/>
      <w:marTop w:val="0"/>
      <w:marBottom w:val="0"/>
      <w:divBdr>
        <w:top w:val="none" w:sz="0" w:space="0" w:color="auto"/>
        <w:left w:val="none" w:sz="0" w:space="0" w:color="auto"/>
        <w:bottom w:val="none" w:sz="0" w:space="0" w:color="auto"/>
        <w:right w:val="none" w:sz="0" w:space="0" w:color="auto"/>
      </w:divBdr>
    </w:div>
    <w:div w:id="715199378">
      <w:bodyDiv w:val="1"/>
      <w:marLeft w:val="0"/>
      <w:marRight w:val="0"/>
      <w:marTop w:val="0"/>
      <w:marBottom w:val="0"/>
      <w:divBdr>
        <w:top w:val="none" w:sz="0" w:space="0" w:color="auto"/>
        <w:left w:val="none" w:sz="0" w:space="0" w:color="auto"/>
        <w:bottom w:val="none" w:sz="0" w:space="0" w:color="auto"/>
        <w:right w:val="none" w:sz="0" w:space="0" w:color="auto"/>
      </w:divBdr>
    </w:div>
    <w:div w:id="1170170908">
      <w:bodyDiv w:val="1"/>
      <w:marLeft w:val="0"/>
      <w:marRight w:val="0"/>
      <w:marTop w:val="0"/>
      <w:marBottom w:val="0"/>
      <w:divBdr>
        <w:top w:val="none" w:sz="0" w:space="0" w:color="auto"/>
        <w:left w:val="none" w:sz="0" w:space="0" w:color="auto"/>
        <w:bottom w:val="none" w:sz="0" w:space="0" w:color="auto"/>
        <w:right w:val="none" w:sz="0" w:space="0" w:color="auto"/>
      </w:divBdr>
      <w:divsChild>
        <w:div w:id="1421412144">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 w:id="12320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1014</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Patricia Kreibohm</cp:lastModifiedBy>
  <cp:revision>3</cp:revision>
  <dcterms:created xsi:type="dcterms:W3CDTF">2017-05-08T18:57:00Z</dcterms:created>
  <dcterms:modified xsi:type="dcterms:W3CDTF">2017-05-08T19:08:00Z</dcterms:modified>
</cp:coreProperties>
</file>